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FLAGSHIP REPORT</w:t>
      </w:r>
    </w:p>
    <w:p>
      <w:pPr>
        <w:spacing w:after="320" w:before="0"/>
        <w:jc w:val="center"/>
      </w:pPr>
      <w:r>
        <w:rPr>
          <w:rFonts w:ascii="Figtree" w:hAnsi="Figtree"/>
          <w:b/>
          <w:color w:val="212529"/>
          <w:sz w:val="52"/>
        </w:rPr>
        <w:t>The State of Nonprofit</w:t>
        <w:br/>
        <w:t>Digital Readiness</w:t>
      </w:r>
    </w:p>
    <w:p>
      <w:pPr>
        <w:spacing w:after="480" w:before="0"/>
        <w:jc w:val="center"/>
      </w:pPr>
      <w:r>
        <w:rPr>
          <w:rFonts w:ascii="Open Sans" w:hAnsi="Open Sans"/>
          <w:b w:val="0"/>
          <w:color w:val="495057"/>
          <w:sz w:val="24"/>
        </w:rPr>
        <w:t>A comprehensive overview of where the nonprofit sector stands on digital</w:t>
        <w:br/>
        <w:t>infrastructure, capacity, and strategic preparedness.</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The nonprofit sector is the backbone of American civic life — employing over 12.5 million people, generating $2.6 trillion in annual revenue, and serving communities across every state. Yet a significant portion of these organizations operate with outdated digital infrastructure, limited communications capacity, and no formal digital strategy.</w:t>
      </w:r>
    </w:p>
    <w:p>
      <w:pPr>
        <w:spacing w:after="120" w:before="0"/>
      </w:pPr>
      <w:r>
        <w:rPr>
          <w:rFonts w:ascii="Open Sans" w:hAnsi="Open Sans"/>
          <w:b w:val="0"/>
          <w:color w:val="495057"/>
          <w:sz w:val="22"/>
        </w:rPr>
        <w:t>This report examines the current state of digital readiness across the U.S. nonprofit sector, identifies the most critical gaps, and offers a framework for understanding the scope of the challenge. Our analysis draws on available sector research, survey data, and organizational case studies to paint a picture of an ecosystem in urgent need of digital modernization.</w:t>
      </w:r>
    </w:p>
    <w:p>
      <w:pPr>
        <w:pStyle w:val="Heading1"/>
      </w:pPr>
      <w:r>
        <w:rPr>
          <w:rFonts w:ascii="Figtree" w:hAnsi="Figtree"/>
          <w:color w:val="212529"/>
        </w:rPr>
        <w:t>Key Findings</w:t>
      </w:r>
    </w:p>
    <w:p>
      <w:pPr>
        <w:spacing w:after="120" w:before="240"/>
      </w:pPr>
      <w:r>
        <w:rPr>
          <w:rFonts w:ascii="Open Sans" w:hAnsi="Open Sans"/>
          <w:b/>
          <w:color w:val="2D6A4F"/>
          <w:sz w:val="22"/>
        </w:rPr>
        <w:t>71% of nonprofits lack a comprehensive digital strategy</w:t>
      </w:r>
    </w:p>
    <w:p>
      <w:pPr>
        <w:spacing w:after="120" w:before="0"/>
      </w:pPr>
      <w:r>
        <w:rPr>
          <w:rFonts w:ascii="Open Sans" w:hAnsi="Open Sans"/>
          <w:b w:val="0"/>
          <w:color w:val="495057"/>
          <w:sz w:val="22"/>
        </w:rPr>
        <w:t>Most organizations approach digital tools tactically rather than strategically, resulting in fragmented systems and missed opportunities for engagement and growth.</w:t>
      </w:r>
    </w:p>
    <w:p>
      <w:pPr>
        <w:spacing w:after="120" w:before="240"/>
      </w:pPr>
      <w:r>
        <w:rPr>
          <w:rFonts w:ascii="Open Sans" w:hAnsi="Open Sans"/>
          <w:b/>
          <w:color w:val="2D6A4F"/>
          <w:sz w:val="22"/>
        </w:rPr>
        <w:t>58% identify outdated technology as a barrier to mission delivery</w:t>
      </w:r>
    </w:p>
    <w:p>
      <w:pPr>
        <w:spacing w:after="120" w:before="0"/>
      </w:pPr>
      <w:r>
        <w:rPr>
          <w:rFonts w:ascii="Open Sans" w:hAnsi="Open Sans"/>
          <w:b w:val="0"/>
          <w:color w:val="495057"/>
          <w:sz w:val="22"/>
        </w:rPr>
        <w:t>Legacy systems, unsupported platforms, and manual processes consume staff time and limit organizational effectiveness.</w:t>
      </w:r>
    </w:p>
    <w:p>
      <w:pPr>
        <w:spacing w:after="120" w:before="240"/>
      </w:pPr>
      <w:r>
        <w:rPr>
          <w:rFonts w:ascii="Open Sans" w:hAnsi="Open Sans"/>
          <w:b/>
          <w:color w:val="2D6A4F"/>
          <w:sz w:val="22"/>
        </w:rPr>
        <w:t>64% say limited digital capacity restricts fundraising potential</w:t>
      </w:r>
    </w:p>
    <w:p>
      <w:pPr>
        <w:spacing w:after="120" w:before="0"/>
      </w:pPr>
      <w:r>
        <w:rPr>
          <w:rFonts w:ascii="Open Sans" w:hAnsi="Open Sans"/>
          <w:b w:val="0"/>
          <w:color w:val="495057"/>
          <w:sz w:val="22"/>
        </w:rPr>
        <w:t>Organizations that cannot communicate their impact online miss significant opportunities for donor engagement, grant competitiveness, and earned revenue.</w:t>
      </w:r>
    </w:p>
    <w:p>
      <w:pPr>
        <w:spacing w:after="120" w:before="240"/>
      </w:pPr>
      <w:r>
        <w:rPr>
          <w:rFonts w:ascii="Open Sans" w:hAnsi="Open Sans"/>
          <w:b/>
          <w:color w:val="2D6A4F"/>
          <w:sz w:val="22"/>
        </w:rPr>
        <w:t>47% lack dedicated staff for digital communications or technology</w:t>
      </w:r>
    </w:p>
    <w:p>
      <w:pPr>
        <w:spacing w:after="120" w:before="0"/>
      </w:pPr>
      <w:r>
        <w:rPr>
          <w:rFonts w:ascii="Open Sans" w:hAnsi="Open Sans"/>
          <w:b w:val="0"/>
          <w:color w:val="495057"/>
          <w:sz w:val="22"/>
        </w:rPr>
        <w:t>Digital responsibilities are often distributed across already-stretched staff, resulting in inconsistent execution and limited strategic thinking.</w:t>
      </w:r>
    </w:p>
    <w:p>
      <w:pPr>
        <w:spacing w:after="120" w:before="240"/>
      </w:pPr>
      <w:r>
        <w:rPr>
          <w:rFonts w:ascii="Open Sans" w:hAnsi="Open Sans"/>
          <w:b/>
          <w:color w:val="2D6A4F"/>
          <w:sz w:val="22"/>
        </w:rPr>
        <w:t>82% believe digital investment would significantly improve outcomes</w:t>
      </w:r>
    </w:p>
    <w:p>
      <w:pPr>
        <w:spacing w:after="120" w:before="0"/>
      </w:pPr>
      <w:r>
        <w:rPr>
          <w:rFonts w:ascii="Open Sans" w:hAnsi="Open Sans"/>
          <w:b w:val="0"/>
          <w:color w:val="495057"/>
          <w:sz w:val="22"/>
        </w:rPr>
        <w:t>There is strong awareness within the sector that digital modernization matters — the barrier is access to resources, expertise, and institutional support.</w:t>
      </w:r>
    </w:p>
    <w:p>
      <w:pPr>
        <w:pStyle w:val="Heading1"/>
      </w:pPr>
      <w:r>
        <w:rPr>
          <w:rFonts w:ascii="Figtree" w:hAnsi="Figtree"/>
          <w:color w:val="212529"/>
        </w:rPr>
        <w:t>The Digital Maturity Spectrum</w:t>
      </w:r>
    </w:p>
    <w:p>
      <w:pPr>
        <w:spacing w:after="120" w:before="0"/>
      </w:pPr>
      <w:r>
        <w:rPr>
          <w:rFonts w:ascii="Open Sans" w:hAnsi="Open Sans"/>
          <w:b w:val="0"/>
          <w:color w:val="495057"/>
          <w:sz w:val="22"/>
        </w:rPr>
        <w:t>Not all nonprofits face the same challenges. Digital readiness exists on a spectrum, and understanding where organizations fall is essential to designing effective interventions.</w:t>
      </w:r>
    </w:p>
    <w:p>
      <w:pPr>
        <w:spacing w:after="120" w:before="200"/>
      </w:pPr>
      <w:r>
        <w:rPr>
          <w:rFonts w:ascii="Open Sans" w:hAnsi="Open Sans"/>
          <w:b/>
          <w:color w:val="212529"/>
          <w:sz w:val="22"/>
        </w:rPr>
        <w:t>Level 1: Foundational</w:t>
      </w:r>
    </w:p>
    <w:p>
      <w:pPr>
        <w:spacing w:after="120" w:before="0"/>
      </w:pPr>
      <w:r>
        <w:rPr>
          <w:rFonts w:ascii="Open Sans" w:hAnsi="Open Sans"/>
          <w:b w:val="0"/>
          <w:color w:val="495057"/>
          <w:sz w:val="22"/>
        </w:rPr>
        <w:t>Organizations with minimal digital presence — basic website, no CRM, limited email communications, no social media strategy. Typically small organizations with budgets under $500K.</w:t>
      </w:r>
    </w:p>
    <w:p>
      <w:pPr>
        <w:spacing w:after="120" w:before="200"/>
      </w:pPr>
      <w:r>
        <w:rPr>
          <w:rFonts w:ascii="Open Sans" w:hAnsi="Open Sans"/>
          <w:b/>
          <w:color w:val="212529"/>
          <w:sz w:val="22"/>
        </w:rPr>
        <w:t>Level 2: Developing</w:t>
      </w:r>
    </w:p>
    <w:p>
      <w:pPr>
        <w:spacing w:after="120" w:before="0"/>
      </w:pPr>
      <w:r>
        <w:rPr>
          <w:rFonts w:ascii="Open Sans" w:hAnsi="Open Sans"/>
          <w:b w:val="0"/>
          <w:color w:val="495057"/>
          <w:sz w:val="22"/>
        </w:rPr>
        <w:t>Organizations with some digital tools in place but used inconsistently — a website that needs updating, basic email newsletters, some social media activity. Staff lack training and time.</w:t>
      </w:r>
    </w:p>
    <w:p>
      <w:pPr>
        <w:spacing w:after="120" w:before="200"/>
      </w:pPr>
      <w:r>
        <w:rPr>
          <w:rFonts w:ascii="Open Sans" w:hAnsi="Open Sans"/>
          <w:b/>
          <w:color w:val="212529"/>
          <w:sz w:val="22"/>
        </w:rPr>
        <w:t>Level 3: Established</w:t>
      </w:r>
    </w:p>
    <w:p>
      <w:pPr>
        <w:spacing w:after="120" w:before="0"/>
      </w:pPr>
      <w:r>
        <w:rPr>
          <w:rFonts w:ascii="Open Sans" w:hAnsi="Open Sans"/>
          <w:b w:val="0"/>
          <w:color w:val="495057"/>
          <w:sz w:val="22"/>
        </w:rPr>
        <w:t>Organizations with functional digital infrastructure — modern website, CRM system, regular email communications, active social media. However, systems may not be integrated and strategy is informal.</w:t>
      </w:r>
    </w:p>
    <w:p>
      <w:pPr>
        <w:spacing w:after="120" w:before="200"/>
      </w:pPr>
      <w:r>
        <w:rPr>
          <w:rFonts w:ascii="Open Sans" w:hAnsi="Open Sans"/>
          <w:b/>
          <w:color w:val="212529"/>
          <w:sz w:val="22"/>
        </w:rPr>
        <w:t>Level 4: Advanced</w:t>
      </w:r>
    </w:p>
    <w:p>
      <w:pPr>
        <w:spacing w:after="120" w:before="0"/>
      </w:pPr>
      <w:r>
        <w:rPr>
          <w:rFonts w:ascii="Open Sans" w:hAnsi="Open Sans"/>
          <w:b w:val="0"/>
          <w:color w:val="495057"/>
          <w:sz w:val="22"/>
        </w:rPr>
        <w:t>Organizations with integrated digital systems, data-driven decision making, dedicated digital staff, and a formal digital strategy aligned with organizational goals.</w:t>
      </w:r>
    </w:p>
    <w:p>
      <w:pPr>
        <w:spacing w:after="120" w:before="200"/>
      </w:pPr>
      <w:r>
        <w:rPr>
          <w:rFonts w:ascii="Open Sans" w:hAnsi="Open Sans"/>
          <w:b/>
          <w:color w:val="212529"/>
          <w:sz w:val="22"/>
        </w:rPr>
        <w:t>Level 5: Leading</w:t>
      </w:r>
    </w:p>
    <w:p>
      <w:pPr>
        <w:spacing w:after="120" w:before="0"/>
      </w:pPr>
      <w:r>
        <w:rPr>
          <w:rFonts w:ascii="Open Sans" w:hAnsi="Open Sans"/>
          <w:b w:val="0"/>
          <w:color w:val="495057"/>
          <w:sz w:val="22"/>
        </w:rPr>
        <w:t>Organizations at the forefront of digital innovation — using advanced analytics, automation, multi-channel engagement, and serving as models for the sector.</w:t>
      </w:r>
    </w:p>
    <w:p>
      <w:pPr>
        <w:pStyle w:val="Heading1"/>
      </w:pPr>
      <w:r>
        <w:rPr>
          <w:rFonts w:ascii="Figtree" w:hAnsi="Figtree"/>
          <w:color w:val="212529"/>
        </w:rPr>
        <w:t>Barriers to Digital Advancement</w:t>
      </w:r>
    </w:p>
    <w:p>
      <w:pPr>
        <w:spacing w:after="80" w:before="0"/>
      </w:pPr>
      <w:r>
        <w:rPr>
          <w:rFonts w:ascii="Open Sans" w:hAnsi="Open Sans"/>
          <w:b w:val="0"/>
          <w:color w:val="495057"/>
          <w:sz w:val="22"/>
        </w:rPr>
        <w:t>•  Insufficient funding for technology infrastructure and staffing</w:t>
      </w:r>
    </w:p>
    <w:p>
      <w:pPr>
        <w:spacing w:after="80" w:before="0"/>
      </w:pPr>
      <w:r>
        <w:rPr>
          <w:rFonts w:ascii="Open Sans" w:hAnsi="Open Sans"/>
          <w:b w:val="0"/>
          <w:color w:val="495057"/>
          <w:sz w:val="22"/>
        </w:rPr>
        <w:t>•  Lack of internal expertise and digital literacy among leadership</w:t>
      </w:r>
    </w:p>
    <w:p>
      <w:pPr>
        <w:spacing w:after="80" w:before="0"/>
      </w:pPr>
      <w:r>
        <w:rPr>
          <w:rFonts w:ascii="Open Sans" w:hAnsi="Open Sans"/>
          <w:b w:val="0"/>
          <w:color w:val="495057"/>
          <w:sz w:val="22"/>
        </w:rPr>
        <w:t>•  Competing organizational priorities and limited bandwidth</w:t>
      </w:r>
    </w:p>
    <w:p>
      <w:pPr>
        <w:spacing w:after="80" w:before="0"/>
      </w:pPr>
      <w:r>
        <w:rPr>
          <w:rFonts w:ascii="Open Sans" w:hAnsi="Open Sans"/>
          <w:b w:val="0"/>
          <w:color w:val="495057"/>
          <w:sz w:val="22"/>
        </w:rPr>
        <w:t>•  Absence of sector-specific guidance, benchmarks, and best practices</w:t>
      </w:r>
    </w:p>
    <w:p>
      <w:pPr>
        <w:spacing w:after="80" w:before="0"/>
      </w:pPr>
      <w:r>
        <w:rPr>
          <w:rFonts w:ascii="Open Sans" w:hAnsi="Open Sans"/>
          <w:b w:val="0"/>
          <w:color w:val="495057"/>
          <w:sz w:val="22"/>
        </w:rPr>
        <w:t>•  Vendor landscape complexity and risk of misaligned solutions</w:t>
      </w:r>
    </w:p>
    <w:p>
      <w:pPr>
        <w:spacing w:after="80" w:before="0"/>
      </w:pPr>
      <w:r>
        <w:rPr>
          <w:rFonts w:ascii="Open Sans" w:hAnsi="Open Sans"/>
          <w:b w:val="0"/>
          <w:color w:val="495057"/>
          <w:sz w:val="22"/>
        </w:rPr>
        <w:t>•  Board and leadership culture that undervalues digital investment</w:t>
      </w:r>
    </w:p>
    <w:p>
      <w:pPr>
        <w:spacing w:after="80" w:before="0"/>
      </w:pPr>
      <w:r>
        <w:rPr>
          <w:rFonts w:ascii="Open Sans" w:hAnsi="Open Sans"/>
          <w:b w:val="0"/>
          <w:color w:val="495057"/>
          <w:sz w:val="22"/>
        </w:rPr>
        <w:t>•  Grant restrictions that limit spending on infrastructure and overhead</w:t>
      </w:r>
    </w:p>
    <w:p>
      <w:pPr>
        <w:pStyle w:val="Heading1"/>
      </w:pPr>
      <w:r>
        <w:rPr>
          <w:rFonts w:ascii="Figtree" w:hAnsi="Figtree"/>
          <w:color w:val="212529"/>
        </w:rPr>
        <w:t>Recommendations</w:t>
      </w:r>
    </w:p>
    <w:p>
      <w:pPr>
        <w:spacing w:after="120" w:before="200"/>
      </w:pPr>
      <w:r>
        <w:rPr>
          <w:rFonts w:ascii="Open Sans" w:hAnsi="Open Sans"/>
          <w:b/>
          <w:color w:val="2D6A4F"/>
          <w:sz w:val="22"/>
        </w:rPr>
        <w:t>Establish national digital readiness benchmarks</w:t>
      </w:r>
    </w:p>
    <w:p>
      <w:pPr>
        <w:spacing w:after="120" w:before="0"/>
      </w:pPr>
      <w:r>
        <w:rPr>
          <w:rFonts w:ascii="Open Sans" w:hAnsi="Open Sans"/>
          <w:b w:val="0"/>
          <w:color w:val="495057"/>
          <w:sz w:val="22"/>
        </w:rPr>
        <w:t>The sector needs standardized metrics for assessing and tracking digital maturity over time.</w:t>
      </w:r>
    </w:p>
    <w:p>
      <w:pPr>
        <w:spacing w:after="120" w:before="200"/>
      </w:pPr>
      <w:r>
        <w:rPr>
          <w:rFonts w:ascii="Open Sans" w:hAnsi="Open Sans"/>
          <w:b/>
          <w:color w:val="2D6A4F"/>
          <w:sz w:val="22"/>
        </w:rPr>
        <w:t>Increase funder investment in digital infrastructure</w:t>
      </w:r>
    </w:p>
    <w:p>
      <w:pPr>
        <w:spacing w:after="120" w:before="0"/>
      </w:pPr>
      <w:r>
        <w:rPr>
          <w:rFonts w:ascii="Open Sans" w:hAnsi="Open Sans"/>
          <w:b w:val="0"/>
          <w:color w:val="495057"/>
          <w:sz w:val="22"/>
        </w:rPr>
        <w:t>Funders should recognize digital capacity as essential infrastructure, not overhead.</w:t>
      </w:r>
    </w:p>
    <w:p>
      <w:pPr>
        <w:spacing w:after="120" w:before="200"/>
      </w:pPr>
      <w:r>
        <w:rPr>
          <w:rFonts w:ascii="Open Sans" w:hAnsi="Open Sans"/>
          <w:b/>
          <w:color w:val="2D6A4F"/>
          <w:sz w:val="22"/>
        </w:rPr>
        <w:t>Create intermediary support structures</w:t>
      </w:r>
    </w:p>
    <w:p>
      <w:pPr>
        <w:spacing w:after="120" w:before="0"/>
      </w:pPr>
      <w:r>
        <w:rPr>
          <w:rFonts w:ascii="Open Sans" w:hAnsi="Open Sans"/>
          <w:b w:val="0"/>
          <w:color w:val="495057"/>
          <w:sz w:val="22"/>
        </w:rPr>
        <w:t>National and regional intermediaries can aggregate expertise, funding, and technical assistance.</w:t>
      </w:r>
    </w:p>
    <w:p>
      <w:pPr>
        <w:spacing w:after="120" w:before="200"/>
      </w:pPr>
      <w:r>
        <w:rPr>
          <w:rFonts w:ascii="Open Sans" w:hAnsi="Open Sans"/>
          <w:b/>
          <w:color w:val="2D6A4F"/>
          <w:sz w:val="22"/>
        </w:rPr>
        <w:t>Develop sector-specific digital strategy frameworks</w:t>
      </w:r>
    </w:p>
    <w:p>
      <w:pPr>
        <w:spacing w:after="120" w:before="0"/>
      </w:pPr>
      <w:r>
        <w:rPr>
          <w:rFonts w:ascii="Open Sans" w:hAnsi="Open Sans"/>
          <w:b w:val="0"/>
          <w:color w:val="495057"/>
          <w:sz w:val="22"/>
        </w:rPr>
        <w:t>Nonprofits need practical, mission-aligned tools for planning digital modernization.</w:t>
      </w:r>
    </w:p>
    <w:p>
      <w:pPr>
        <w:spacing w:after="120" w:before="200"/>
      </w:pPr>
      <w:r>
        <w:rPr>
          <w:rFonts w:ascii="Open Sans" w:hAnsi="Open Sans"/>
          <w:b/>
          <w:color w:val="2D6A4F"/>
          <w:sz w:val="22"/>
        </w:rPr>
        <w:t>Invest in leadership digital literacy</w:t>
      </w:r>
    </w:p>
    <w:p>
      <w:pPr>
        <w:spacing w:after="120" w:before="0"/>
      </w:pPr>
      <w:r>
        <w:rPr>
          <w:rFonts w:ascii="Open Sans" w:hAnsi="Open Sans"/>
          <w:b w:val="0"/>
          <w:color w:val="495057"/>
          <w:sz w:val="22"/>
        </w:rPr>
        <w:t>Board members and executive directors need education on the strategic value of digital investment.</w:t>
      </w:r>
    </w:p>
    <w:p>
      <w:pPr>
        <w:pStyle w:val="Heading1"/>
      </w:pPr>
      <w:r>
        <w:rPr>
          <w:rFonts w:ascii="Figtree" w:hAnsi="Figtree"/>
          <w:color w:val="212529"/>
        </w:rPr>
        <w:t>Conclusion</w:t>
      </w:r>
    </w:p>
    <w:p>
      <w:pPr>
        <w:spacing w:after="120" w:before="0"/>
      </w:pPr>
      <w:r>
        <w:rPr>
          <w:rFonts w:ascii="Open Sans" w:hAnsi="Open Sans"/>
          <w:b w:val="0"/>
          <w:color w:val="495057"/>
          <w:sz w:val="22"/>
        </w:rPr>
        <w:t>The nonprofit sector's digital readiness challenge is not a technology problem — it is an infrastructure problem, a funding problem, and a leadership problem. Solving it requires institutional commitment, systemic investment, and organizations willing to serve as intermediaries between the sector's needs and the resources required to meet them.</w:t>
      </w:r>
    </w:p>
    <w:p>
      <w:pPr>
        <w:spacing w:after="120" w:before="0"/>
      </w:pPr>
      <w:r>
        <w:rPr>
          <w:rFonts w:ascii="Open Sans" w:hAnsi="Open Sans"/>
          <w:b w:val="0"/>
          <w:color w:val="495057"/>
          <w:sz w:val="22"/>
        </w:rPr>
        <w:t>NINDA was founded to address this challenge directly — as a national capacity-building institution dedicated to closing the digital divide in the nonprofit sector.</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