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240" w:before="0"/>
        <w:jc w:val="center"/>
      </w:pPr>
      <w:r>
        <w:rPr>
          <w:rFonts w:ascii="Open Sans" w:hAnsi="Open Sans"/>
          <w:b/>
          <w:color w:val="E07A5F"/>
          <w:sz w:val="20"/>
        </w:rPr>
        <w:t>REPORT</w:t>
      </w:r>
    </w:p>
    <w:p>
      <w:pPr>
        <w:spacing w:after="320" w:before="0"/>
        <w:jc w:val="center"/>
      </w:pPr>
      <w:r>
        <w:rPr>
          <w:rFonts w:ascii="Figtree" w:hAnsi="Figtree"/>
          <w:b/>
          <w:color w:val="212529"/>
          <w:sz w:val="52"/>
        </w:rPr>
        <w:t>Nonprofit Digital</w:t>
        <w:br/>
        <w:t>Maturity Framework</w:t>
      </w:r>
    </w:p>
    <w:p>
      <w:pPr>
        <w:spacing w:after="480" w:before="0"/>
        <w:jc w:val="center"/>
      </w:pPr>
      <w:r>
        <w:rPr>
          <w:rFonts w:ascii="Open Sans" w:hAnsi="Open Sans"/>
          <w:b w:val="0"/>
          <w:color w:val="495057"/>
          <w:sz w:val="24"/>
        </w:rPr>
        <w:t>A structured assessment model for evaluating organizational digital</w:t>
        <w:br/>
        <w:t>readiness across five core dimensions of capacity.</w:t>
      </w:r>
    </w:p>
    <w:p>
      <w:pPr>
        <w:spacing w:before="80" w:after="80"/>
      </w:pPr>
      <w:r>
        <w:rPr>
          <w:color w:val="DEE2E6"/>
          <w:sz w:val="12"/>
        </w:rPr>
        <w:t>────────────────────────────────────────────────────────────────────────</w:t>
      </w:r>
    </w:p>
    <w:p>
      <w:pPr>
        <w:spacing w:after="120" w:before="0"/>
      </w:pPr>
      <w:r>
        <w:rPr>
          <w:rFonts w:ascii="Open Sans" w:hAnsi="Open Sans"/>
          <w:b w:val="0"/>
          <w:color w:val="495057"/>
          <w:sz w:val="16"/>
        </w:rPr>
      </w:r>
    </w:p>
    <w:p>
      <w:pPr>
        <w:spacing w:after="80" w:before="0"/>
        <w:jc w:val="center"/>
      </w:pPr>
      <w:r>
        <w:rPr>
          <w:rFonts w:ascii="Open Sans" w:hAnsi="Open Sans"/>
          <w:b/>
          <w:color w:val="2D6A4F"/>
          <w:sz w:val="22"/>
        </w:rPr>
        <w:t>National Institute for Nonprofit Digital Advancement</w:t>
      </w:r>
    </w:p>
    <w:p>
      <w:pPr>
        <w:spacing w:after="80" w:before="0"/>
        <w:jc w:val="center"/>
      </w:pPr>
      <w:r>
        <w:rPr>
          <w:rFonts w:ascii="Open Sans" w:hAnsi="Open Sans"/>
          <w:b w:val="0"/>
          <w:color w:val="868E96"/>
          <w:sz w:val="18"/>
        </w:rPr>
        <w:t>NINDA</w:t>
      </w:r>
    </w:p>
    <w:p>
      <w:pPr>
        <w:spacing w:after="40" w:before="0"/>
        <w:jc w:val="center"/>
      </w:pPr>
      <w:r>
        <w:rPr>
          <w:rFonts w:ascii="Open Sans" w:hAnsi="Open Sans"/>
          <w:b w:val="0"/>
          <w:color w:val="868E96"/>
          <w:sz w:val="18"/>
        </w:rPr>
        <w:t>Preliminary Draft — 2026</w:t>
      </w:r>
    </w:p>
    <w:p>
      <w:pPr>
        <w:spacing w:after="120" w:before="0"/>
        <w:jc w:val="center"/>
      </w:pPr>
      <w:r>
        <w:rPr>
          <w:rFonts w:ascii="Open Sans" w:hAnsi="Open Sans"/>
          <w:b w:val="0"/>
          <w:color w:val="2D6A4F"/>
          <w:sz w:val="18"/>
        </w:rPr>
        <w:t>www.ninda.org</w:t>
      </w:r>
    </w:p>
    <w:p>
      <w:r>
        <w:br w:type="page"/>
      </w:r>
    </w:p>
    <w:p>
      <w:pPr>
        <w:spacing w:after="320" w:before="0"/>
      </w:pPr>
      <w:r>
        <w:rPr>
          <w:rFonts w:ascii="Open Sans" w:hAnsi="Open Sans"/>
          <w:b w:val="0"/>
          <w:color w:val="868E96"/>
          <w:sz w:val="16"/>
        </w:rPr>
        <w:t>PRELIMINARY DRAFT — This document is a concept draft produced during the formation phase of the National Institute for Nonprofit Digital Advancement (NINDA). It is intended for internal planning, stakeholder alignment, and institutional positioning purposes. Data points cited are drawn from publicly available sector research and should be independently verified before use in grant applications, public communications, or policy recommendations.</w:t>
      </w:r>
    </w:p>
    <w:p>
      <w:pPr>
        <w:spacing w:before="80" w:after="80"/>
      </w:pPr>
      <w:r>
        <w:rPr>
          <w:color w:val="DEE2E6"/>
          <w:sz w:val="12"/>
        </w:rPr>
        <w:t>────────────────────────────────────────────────────────────────────────</w:t>
      </w:r>
    </w:p>
    <w:p>
      <w:pPr>
        <w:pStyle w:val="Heading1"/>
      </w:pPr>
      <w:r>
        <w:rPr>
          <w:rFonts w:ascii="Figtree" w:hAnsi="Figtree"/>
          <w:color w:val="212529"/>
        </w:rPr>
        <w:t>Executive Summary</w:t>
      </w:r>
    </w:p>
    <w:p>
      <w:pPr>
        <w:spacing w:after="120" w:before="0"/>
      </w:pPr>
      <w:r>
        <w:rPr>
          <w:rFonts w:ascii="Open Sans" w:hAnsi="Open Sans"/>
          <w:b w:val="0"/>
          <w:color w:val="495057"/>
          <w:sz w:val="22"/>
        </w:rPr>
        <w:t>Effective digital modernization begins with honest assessment. Yet the nonprofit sector lacks a widely adopted, sector-specific framework for evaluating digital maturity. This report introduces the NINDA Digital Maturity Framework — a structured model that helps organizations understand where they are, where they need to be, and what it will take to get there.</w:t>
      </w:r>
    </w:p>
    <w:p>
      <w:pPr>
        <w:pStyle w:val="Heading1"/>
      </w:pPr>
      <w:r>
        <w:rPr>
          <w:rFonts w:ascii="Figtree" w:hAnsi="Figtree"/>
          <w:color w:val="212529"/>
        </w:rPr>
        <w:t>The Five Dimensions</w:t>
      </w:r>
    </w:p>
    <w:p>
      <w:pPr>
        <w:spacing w:after="120" w:before="0"/>
      </w:pPr>
      <w:r>
        <w:rPr>
          <w:rFonts w:ascii="Open Sans" w:hAnsi="Open Sans"/>
          <w:b w:val="0"/>
          <w:color w:val="495057"/>
          <w:sz w:val="22"/>
        </w:rPr>
        <w:t>The framework evaluates organizational digital readiness across five interconnected dimensions:</w:t>
      </w:r>
    </w:p>
    <w:p>
      <w:pPr>
        <w:pStyle w:val="Heading2"/>
      </w:pPr>
      <w:r>
        <w:rPr>
          <w:rFonts w:ascii="Figtree" w:hAnsi="Figtree"/>
          <w:color w:val="212529"/>
        </w:rPr>
        <w:t>1. Digital Infrastructure</w:t>
      </w:r>
    </w:p>
    <w:p>
      <w:pPr>
        <w:spacing w:after="120" w:before="0"/>
      </w:pPr>
      <w:r>
        <w:rPr>
          <w:rFonts w:ascii="Open Sans" w:hAnsi="Open Sans"/>
          <w:b w:val="0"/>
          <w:color w:val="495057"/>
          <w:sz w:val="22"/>
        </w:rPr>
        <w:t>The foundational technology systems that support organizational operations.</w:t>
      </w:r>
    </w:p>
    <w:p>
      <w:pPr>
        <w:spacing w:after="60" w:before="0"/>
      </w:pPr>
      <w:r>
        <w:rPr>
          <w:rFonts w:ascii="Open Sans" w:hAnsi="Open Sans"/>
          <w:b w:val="0"/>
          <w:color w:val="495057"/>
          <w:sz w:val="22"/>
        </w:rPr>
        <w:t>•  Website and digital presence</w:t>
      </w:r>
    </w:p>
    <w:p>
      <w:pPr>
        <w:spacing w:after="60" w:before="0"/>
      </w:pPr>
      <w:r>
        <w:rPr>
          <w:rFonts w:ascii="Open Sans" w:hAnsi="Open Sans"/>
          <w:b w:val="0"/>
          <w:color w:val="495057"/>
          <w:sz w:val="22"/>
        </w:rPr>
        <w:t>•  CRM and constituent management</w:t>
      </w:r>
    </w:p>
    <w:p>
      <w:pPr>
        <w:spacing w:after="60" w:before="0"/>
      </w:pPr>
      <w:r>
        <w:rPr>
          <w:rFonts w:ascii="Open Sans" w:hAnsi="Open Sans"/>
          <w:b w:val="0"/>
          <w:color w:val="495057"/>
          <w:sz w:val="22"/>
        </w:rPr>
        <w:t>•  Internal communications and collaboration tools</w:t>
      </w:r>
    </w:p>
    <w:p>
      <w:pPr>
        <w:spacing w:after="60" w:before="0"/>
      </w:pPr>
      <w:r>
        <w:rPr>
          <w:rFonts w:ascii="Open Sans" w:hAnsi="Open Sans"/>
          <w:b w:val="0"/>
          <w:color w:val="495057"/>
          <w:sz w:val="22"/>
        </w:rPr>
        <w:t>•  Data storage and management systems</w:t>
      </w:r>
    </w:p>
    <w:p>
      <w:pPr>
        <w:spacing w:after="60" w:before="0"/>
      </w:pPr>
      <w:r>
        <w:rPr>
          <w:rFonts w:ascii="Open Sans" w:hAnsi="Open Sans"/>
          <w:b w:val="0"/>
          <w:color w:val="495057"/>
          <w:sz w:val="22"/>
        </w:rPr>
        <w:t>•  Security and compliance infrastructure</w:t>
      </w:r>
    </w:p>
    <w:p>
      <w:pPr>
        <w:pStyle w:val="Heading2"/>
      </w:pPr>
      <w:r>
        <w:rPr>
          <w:rFonts w:ascii="Figtree" w:hAnsi="Figtree"/>
          <w:color w:val="212529"/>
        </w:rPr>
        <w:t>2. Communications &amp; Engagement</w:t>
      </w:r>
    </w:p>
    <w:p>
      <w:pPr>
        <w:spacing w:after="120" w:before="0"/>
      </w:pPr>
      <w:r>
        <w:rPr>
          <w:rFonts w:ascii="Open Sans" w:hAnsi="Open Sans"/>
          <w:b w:val="0"/>
          <w:color w:val="495057"/>
          <w:sz w:val="22"/>
        </w:rPr>
        <w:t>The systems and strategies for reaching and engaging stakeholders.</w:t>
      </w:r>
    </w:p>
    <w:p>
      <w:pPr>
        <w:spacing w:after="60" w:before="0"/>
      </w:pPr>
      <w:r>
        <w:rPr>
          <w:rFonts w:ascii="Open Sans" w:hAnsi="Open Sans"/>
          <w:b w:val="0"/>
          <w:color w:val="495057"/>
          <w:sz w:val="22"/>
        </w:rPr>
        <w:t>•  Email marketing and automation</w:t>
      </w:r>
    </w:p>
    <w:p>
      <w:pPr>
        <w:spacing w:after="60" w:before="0"/>
      </w:pPr>
      <w:r>
        <w:rPr>
          <w:rFonts w:ascii="Open Sans" w:hAnsi="Open Sans"/>
          <w:b w:val="0"/>
          <w:color w:val="495057"/>
          <w:sz w:val="22"/>
        </w:rPr>
        <w:t>•  Social media strategy and management</w:t>
      </w:r>
    </w:p>
    <w:p>
      <w:pPr>
        <w:spacing w:after="60" w:before="0"/>
      </w:pPr>
      <w:r>
        <w:rPr>
          <w:rFonts w:ascii="Open Sans" w:hAnsi="Open Sans"/>
          <w:b w:val="0"/>
          <w:color w:val="495057"/>
          <w:sz w:val="22"/>
        </w:rPr>
        <w:t>•  Content creation and distribution</w:t>
      </w:r>
    </w:p>
    <w:p>
      <w:pPr>
        <w:spacing w:after="60" w:before="0"/>
      </w:pPr>
      <w:r>
        <w:rPr>
          <w:rFonts w:ascii="Open Sans" w:hAnsi="Open Sans"/>
          <w:b w:val="0"/>
          <w:color w:val="495057"/>
          <w:sz w:val="22"/>
        </w:rPr>
        <w:t>•  Audience development and segmentation</w:t>
      </w:r>
    </w:p>
    <w:p>
      <w:pPr>
        <w:spacing w:after="60" w:before="0"/>
      </w:pPr>
      <w:r>
        <w:rPr>
          <w:rFonts w:ascii="Open Sans" w:hAnsi="Open Sans"/>
          <w:b w:val="0"/>
          <w:color w:val="495057"/>
          <w:sz w:val="22"/>
        </w:rPr>
        <w:t>•  Multi-channel engagement coordination</w:t>
      </w:r>
    </w:p>
    <w:p>
      <w:pPr>
        <w:pStyle w:val="Heading2"/>
      </w:pPr>
      <w:r>
        <w:rPr>
          <w:rFonts w:ascii="Figtree" w:hAnsi="Figtree"/>
          <w:color w:val="212529"/>
        </w:rPr>
        <w:t>3. Data &amp; Analytics</w:t>
      </w:r>
    </w:p>
    <w:p>
      <w:pPr>
        <w:spacing w:after="120" w:before="0"/>
      </w:pPr>
      <w:r>
        <w:rPr>
          <w:rFonts w:ascii="Open Sans" w:hAnsi="Open Sans"/>
          <w:b w:val="0"/>
          <w:color w:val="495057"/>
          <w:sz w:val="22"/>
        </w:rPr>
        <w:t>The capacity to collect, manage, analyze, and act on data.</w:t>
      </w:r>
    </w:p>
    <w:p>
      <w:pPr>
        <w:spacing w:after="60" w:before="0"/>
      </w:pPr>
      <w:r>
        <w:rPr>
          <w:rFonts w:ascii="Open Sans" w:hAnsi="Open Sans"/>
          <w:b w:val="0"/>
          <w:color w:val="495057"/>
          <w:sz w:val="22"/>
        </w:rPr>
        <w:t>•  Data collection and quality management</w:t>
      </w:r>
    </w:p>
    <w:p>
      <w:pPr>
        <w:spacing w:after="60" w:before="0"/>
      </w:pPr>
      <w:r>
        <w:rPr>
          <w:rFonts w:ascii="Open Sans" w:hAnsi="Open Sans"/>
          <w:b w:val="0"/>
          <w:color w:val="495057"/>
          <w:sz w:val="22"/>
        </w:rPr>
        <w:t>•  Reporting and dashboard capabilities</w:t>
      </w:r>
    </w:p>
    <w:p>
      <w:pPr>
        <w:spacing w:after="60" w:before="0"/>
      </w:pPr>
      <w:r>
        <w:rPr>
          <w:rFonts w:ascii="Open Sans" w:hAnsi="Open Sans"/>
          <w:b w:val="0"/>
          <w:color w:val="495057"/>
          <w:sz w:val="22"/>
        </w:rPr>
        <w:t>•  Outcome measurement and impact tracking</w:t>
      </w:r>
    </w:p>
    <w:p>
      <w:pPr>
        <w:spacing w:after="60" w:before="0"/>
      </w:pPr>
      <w:r>
        <w:rPr>
          <w:rFonts w:ascii="Open Sans" w:hAnsi="Open Sans"/>
          <w:b w:val="0"/>
          <w:color w:val="495057"/>
          <w:sz w:val="22"/>
        </w:rPr>
        <w:t>•  Data-informed decision making culture</w:t>
      </w:r>
    </w:p>
    <w:p>
      <w:pPr>
        <w:spacing w:after="60" w:before="0"/>
      </w:pPr>
      <w:r>
        <w:rPr>
          <w:rFonts w:ascii="Open Sans" w:hAnsi="Open Sans"/>
          <w:b w:val="0"/>
          <w:color w:val="495057"/>
          <w:sz w:val="22"/>
        </w:rPr>
        <w:t>•  Privacy and data governance policies</w:t>
      </w:r>
    </w:p>
    <w:p>
      <w:pPr>
        <w:pStyle w:val="Heading2"/>
      </w:pPr>
      <w:r>
        <w:rPr>
          <w:rFonts w:ascii="Figtree" w:hAnsi="Figtree"/>
          <w:color w:val="212529"/>
        </w:rPr>
        <w:t>4. People &amp; Culture</w:t>
      </w:r>
    </w:p>
    <w:p>
      <w:pPr>
        <w:spacing w:after="120" w:before="0"/>
      </w:pPr>
      <w:r>
        <w:rPr>
          <w:rFonts w:ascii="Open Sans" w:hAnsi="Open Sans"/>
          <w:b w:val="0"/>
          <w:color w:val="495057"/>
          <w:sz w:val="22"/>
        </w:rPr>
        <w:t>The human capacity and organizational culture that supports digital effectiveness.</w:t>
      </w:r>
    </w:p>
    <w:p>
      <w:pPr>
        <w:spacing w:after="60" w:before="0"/>
      </w:pPr>
      <w:r>
        <w:rPr>
          <w:rFonts w:ascii="Open Sans" w:hAnsi="Open Sans"/>
          <w:b w:val="0"/>
          <w:color w:val="495057"/>
          <w:sz w:val="22"/>
        </w:rPr>
        <w:t>•  Staff digital literacy and skills</w:t>
      </w:r>
    </w:p>
    <w:p>
      <w:pPr>
        <w:spacing w:after="60" w:before="0"/>
      </w:pPr>
      <w:r>
        <w:rPr>
          <w:rFonts w:ascii="Open Sans" w:hAnsi="Open Sans"/>
          <w:b w:val="0"/>
          <w:color w:val="495057"/>
          <w:sz w:val="22"/>
        </w:rPr>
        <w:t>•  Dedicated digital/technology roles</w:t>
      </w:r>
    </w:p>
    <w:p>
      <w:pPr>
        <w:spacing w:after="60" w:before="0"/>
      </w:pPr>
      <w:r>
        <w:rPr>
          <w:rFonts w:ascii="Open Sans" w:hAnsi="Open Sans"/>
          <w:b w:val="0"/>
          <w:color w:val="495057"/>
          <w:sz w:val="22"/>
        </w:rPr>
        <w:t>•  Leadership understanding of digital strategy</w:t>
      </w:r>
    </w:p>
    <w:p>
      <w:pPr>
        <w:spacing w:after="60" w:before="0"/>
      </w:pPr>
      <w:r>
        <w:rPr>
          <w:rFonts w:ascii="Open Sans" w:hAnsi="Open Sans"/>
          <w:b w:val="0"/>
          <w:color w:val="495057"/>
          <w:sz w:val="22"/>
        </w:rPr>
        <w:t>•  Board engagement with digital issues</w:t>
      </w:r>
    </w:p>
    <w:p>
      <w:pPr>
        <w:spacing w:after="60" w:before="0"/>
      </w:pPr>
      <w:r>
        <w:rPr>
          <w:rFonts w:ascii="Open Sans" w:hAnsi="Open Sans"/>
          <w:b w:val="0"/>
          <w:color w:val="495057"/>
          <w:sz w:val="22"/>
        </w:rPr>
        <w:t>•  Organizational learning and adaptation capacity</w:t>
      </w:r>
    </w:p>
    <w:p>
      <w:pPr>
        <w:pStyle w:val="Heading2"/>
      </w:pPr>
      <w:r>
        <w:rPr>
          <w:rFonts w:ascii="Figtree" w:hAnsi="Figtree"/>
          <w:color w:val="212529"/>
        </w:rPr>
        <w:t>5. Strategy &amp; Governance</w:t>
      </w:r>
    </w:p>
    <w:p>
      <w:pPr>
        <w:spacing w:after="120" w:before="0"/>
      </w:pPr>
      <w:r>
        <w:rPr>
          <w:rFonts w:ascii="Open Sans" w:hAnsi="Open Sans"/>
          <w:b w:val="0"/>
          <w:color w:val="495057"/>
          <w:sz w:val="22"/>
        </w:rPr>
        <w:t>The strategic planning and governance structures that guide digital investment.</w:t>
      </w:r>
    </w:p>
    <w:p>
      <w:pPr>
        <w:spacing w:after="60" w:before="0"/>
      </w:pPr>
      <w:r>
        <w:rPr>
          <w:rFonts w:ascii="Open Sans" w:hAnsi="Open Sans"/>
          <w:b w:val="0"/>
          <w:color w:val="495057"/>
          <w:sz w:val="22"/>
        </w:rPr>
        <w:t>•  Formal digital strategy aligned with mission</w:t>
      </w:r>
    </w:p>
    <w:p>
      <w:pPr>
        <w:spacing w:after="60" w:before="0"/>
      </w:pPr>
      <w:r>
        <w:rPr>
          <w:rFonts w:ascii="Open Sans" w:hAnsi="Open Sans"/>
          <w:b w:val="0"/>
          <w:color w:val="495057"/>
          <w:sz w:val="22"/>
        </w:rPr>
        <w:t>•  Technology budgeting and investment planning</w:t>
      </w:r>
    </w:p>
    <w:p>
      <w:pPr>
        <w:spacing w:after="60" w:before="0"/>
      </w:pPr>
      <w:r>
        <w:rPr>
          <w:rFonts w:ascii="Open Sans" w:hAnsi="Open Sans"/>
          <w:b w:val="0"/>
          <w:color w:val="495057"/>
          <w:sz w:val="22"/>
        </w:rPr>
        <w:t>•  Vendor and partner management</w:t>
      </w:r>
    </w:p>
    <w:p>
      <w:pPr>
        <w:spacing w:after="60" w:before="0"/>
      </w:pPr>
      <w:r>
        <w:rPr>
          <w:rFonts w:ascii="Open Sans" w:hAnsi="Open Sans"/>
          <w:b w:val="0"/>
          <w:color w:val="495057"/>
          <w:sz w:val="22"/>
        </w:rPr>
        <w:t>•  Digital governance policies</w:t>
      </w:r>
    </w:p>
    <w:p>
      <w:pPr>
        <w:spacing w:after="60" w:before="0"/>
      </w:pPr>
      <w:r>
        <w:rPr>
          <w:rFonts w:ascii="Open Sans" w:hAnsi="Open Sans"/>
          <w:b w:val="0"/>
          <w:color w:val="495057"/>
          <w:sz w:val="22"/>
        </w:rPr>
        <w:t>•  Risk management and continuity planning</w:t>
      </w:r>
    </w:p>
    <w:p>
      <w:pPr>
        <w:pStyle w:val="Heading1"/>
      </w:pPr>
      <w:r>
        <w:rPr>
          <w:rFonts w:ascii="Figtree" w:hAnsi="Figtree"/>
          <w:color w:val="212529"/>
        </w:rPr>
        <w:t>Maturity Levels</w:t>
      </w:r>
    </w:p>
    <w:p>
      <w:pPr>
        <w:spacing w:after="120" w:before="0"/>
      </w:pPr>
      <w:r>
        <w:rPr>
          <w:rFonts w:ascii="Open Sans" w:hAnsi="Open Sans"/>
          <w:b w:val="0"/>
          <w:color w:val="495057"/>
          <w:sz w:val="22"/>
        </w:rPr>
        <w:t>Each dimension is evaluated on a five-point maturity scale:</w:t>
      </w:r>
    </w:p>
    <w:p>
      <w:pPr>
        <w:spacing w:after="120" w:before="160"/>
      </w:pPr>
      <w:r>
        <w:rPr>
          <w:rFonts w:ascii="Open Sans" w:hAnsi="Open Sans"/>
          <w:b/>
          <w:color w:val="2D6A4F"/>
          <w:sz w:val="22"/>
        </w:rPr>
        <w:t>Level 1 — Ad Hoc</w:t>
      </w:r>
    </w:p>
    <w:p>
      <w:pPr>
        <w:spacing w:after="120" w:before="0"/>
      </w:pPr>
      <w:r>
        <w:rPr>
          <w:rFonts w:ascii="Open Sans" w:hAnsi="Open Sans"/>
          <w:b w:val="0"/>
          <w:color w:val="495057"/>
          <w:sz w:val="22"/>
        </w:rPr>
        <w:t>No formal approach. Activities are reactive and inconsistent.</w:t>
      </w:r>
    </w:p>
    <w:p>
      <w:pPr>
        <w:spacing w:after="120" w:before="160"/>
      </w:pPr>
      <w:r>
        <w:rPr>
          <w:rFonts w:ascii="Open Sans" w:hAnsi="Open Sans"/>
          <w:b/>
          <w:color w:val="2D6A4F"/>
          <w:sz w:val="22"/>
        </w:rPr>
        <w:t>Level 2 — Emerging</w:t>
      </w:r>
    </w:p>
    <w:p>
      <w:pPr>
        <w:spacing w:after="120" w:before="0"/>
      </w:pPr>
      <w:r>
        <w:rPr>
          <w:rFonts w:ascii="Open Sans" w:hAnsi="Open Sans"/>
          <w:b w:val="0"/>
          <w:color w:val="495057"/>
          <w:sz w:val="22"/>
        </w:rPr>
        <w:t>Some tools and practices in place, but not standardized or strategic.</w:t>
      </w:r>
    </w:p>
    <w:p>
      <w:pPr>
        <w:spacing w:after="120" w:before="160"/>
      </w:pPr>
      <w:r>
        <w:rPr>
          <w:rFonts w:ascii="Open Sans" w:hAnsi="Open Sans"/>
          <w:b/>
          <w:color w:val="2D6A4F"/>
          <w:sz w:val="22"/>
        </w:rPr>
        <w:t>Level 3 — Defined</w:t>
      </w:r>
    </w:p>
    <w:p>
      <w:pPr>
        <w:spacing w:after="120" w:before="0"/>
      </w:pPr>
      <w:r>
        <w:rPr>
          <w:rFonts w:ascii="Open Sans" w:hAnsi="Open Sans"/>
          <w:b w:val="0"/>
          <w:color w:val="495057"/>
          <w:sz w:val="22"/>
        </w:rPr>
        <w:t>Formal processes exist and are documented. Systems are in place and used consistently.</w:t>
      </w:r>
    </w:p>
    <w:p>
      <w:pPr>
        <w:spacing w:after="120" w:before="160"/>
      </w:pPr>
      <w:r>
        <w:rPr>
          <w:rFonts w:ascii="Open Sans" w:hAnsi="Open Sans"/>
          <w:b/>
          <w:color w:val="2D6A4F"/>
          <w:sz w:val="22"/>
        </w:rPr>
        <w:t>Level 4 — Managed</w:t>
      </w:r>
    </w:p>
    <w:p>
      <w:pPr>
        <w:spacing w:after="120" w:before="0"/>
      </w:pPr>
      <w:r>
        <w:rPr>
          <w:rFonts w:ascii="Open Sans" w:hAnsi="Open Sans"/>
          <w:b w:val="0"/>
          <w:color w:val="495057"/>
          <w:sz w:val="22"/>
        </w:rPr>
        <w:t>Systems are integrated, performance is measured, and strategy guides investment.</w:t>
      </w:r>
    </w:p>
    <w:p>
      <w:pPr>
        <w:spacing w:after="120" w:before="160"/>
      </w:pPr>
      <w:r>
        <w:rPr>
          <w:rFonts w:ascii="Open Sans" w:hAnsi="Open Sans"/>
          <w:b/>
          <w:color w:val="2D6A4F"/>
          <w:sz w:val="22"/>
        </w:rPr>
        <w:t>Level 5 — Optimizing</w:t>
      </w:r>
    </w:p>
    <w:p>
      <w:pPr>
        <w:spacing w:after="120" w:before="0"/>
      </w:pPr>
      <w:r>
        <w:rPr>
          <w:rFonts w:ascii="Open Sans" w:hAnsi="Open Sans"/>
          <w:b w:val="0"/>
          <w:color w:val="495057"/>
          <w:sz w:val="22"/>
        </w:rPr>
        <w:t>Continuous improvement culture. Data-driven. Serving as a model for the sector.</w:t>
      </w:r>
    </w:p>
    <w:p>
      <w:pPr>
        <w:pStyle w:val="Heading1"/>
      </w:pPr>
      <w:r>
        <w:rPr>
          <w:rFonts w:ascii="Figtree" w:hAnsi="Figtree"/>
          <w:color w:val="212529"/>
        </w:rPr>
        <w:t>How to Use This Framework</w:t>
      </w:r>
    </w:p>
    <w:p>
      <w:pPr>
        <w:spacing w:after="80" w:before="0"/>
      </w:pPr>
      <w:r>
        <w:rPr>
          <w:rFonts w:ascii="Open Sans" w:hAnsi="Open Sans"/>
          <w:b w:val="0"/>
          <w:color w:val="495057"/>
          <w:sz w:val="22"/>
        </w:rPr>
        <w:t>1.  Conduct an honest self-assessment across all five dimensions</w:t>
      </w:r>
    </w:p>
    <w:p>
      <w:pPr>
        <w:spacing w:after="80" w:before="0"/>
      </w:pPr>
      <w:r>
        <w:rPr>
          <w:rFonts w:ascii="Open Sans" w:hAnsi="Open Sans"/>
          <w:b w:val="0"/>
          <w:color w:val="495057"/>
          <w:sz w:val="22"/>
        </w:rPr>
        <w:t>2.  Identify the 2-3 dimensions with the largest gaps relative to organizational needs</w:t>
      </w:r>
    </w:p>
    <w:p>
      <w:pPr>
        <w:spacing w:after="80" w:before="0"/>
      </w:pPr>
      <w:r>
        <w:rPr>
          <w:rFonts w:ascii="Open Sans" w:hAnsi="Open Sans"/>
          <w:b w:val="0"/>
          <w:color w:val="495057"/>
          <w:sz w:val="22"/>
        </w:rPr>
        <w:t>3.  Develop a prioritized action plan focused on moving one level up in priority areas</w:t>
      </w:r>
    </w:p>
    <w:p>
      <w:pPr>
        <w:spacing w:after="80" w:before="0"/>
      </w:pPr>
      <w:r>
        <w:rPr>
          <w:rFonts w:ascii="Open Sans" w:hAnsi="Open Sans"/>
          <w:b w:val="0"/>
          <w:color w:val="495057"/>
          <w:sz w:val="22"/>
        </w:rPr>
        <w:t>4.  Secure leadership buy-in and allocate appropriate budget and staff time</w:t>
      </w:r>
    </w:p>
    <w:p>
      <w:pPr>
        <w:spacing w:after="80" w:before="0"/>
      </w:pPr>
      <w:r>
        <w:rPr>
          <w:rFonts w:ascii="Open Sans" w:hAnsi="Open Sans"/>
          <w:b w:val="0"/>
          <w:color w:val="495057"/>
          <w:sz w:val="22"/>
        </w:rPr>
        <w:t>5.  Reassess annually to track progress and adjust strategy</w:t>
      </w:r>
    </w:p>
    <w:p>
      <w:pPr>
        <w:pStyle w:val="Heading1"/>
      </w:pPr>
      <w:r>
        <w:rPr>
          <w:rFonts w:ascii="Figtree" w:hAnsi="Figtree"/>
          <w:color w:val="212529"/>
        </w:rPr>
        <w:t>Conclusion</w:t>
      </w:r>
    </w:p>
    <w:p>
      <w:pPr>
        <w:spacing w:after="120" w:before="0"/>
      </w:pPr>
      <w:r>
        <w:rPr>
          <w:rFonts w:ascii="Open Sans" w:hAnsi="Open Sans"/>
          <w:b w:val="0"/>
          <w:color w:val="495057"/>
          <w:sz w:val="22"/>
        </w:rPr>
        <w:t>Digital maturity is not a destination — it is a journey. This framework provides a common language and structured approach for nonprofits to assess, plan, and track their digital modernization efforts. NINDA will continue to refine and expand this framework based on field experience and sector research.</w:t>
      </w:r>
    </w:p>
    <w:p>
      <w:pPr>
        <w:spacing w:after="120" w:before="0"/>
      </w:pPr>
      <w:r>
        <w:rPr>
          <w:rFonts w:ascii="Open Sans" w:hAnsi="Open Sans"/>
          <w:b w:val="0"/>
          <w:color w:val="495057"/>
          <w:sz w:val="12"/>
        </w:rPr>
      </w:r>
    </w:p>
    <w:p>
      <w:pPr>
        <w:spacing w:before="80" w:after="80"/>
      </w:pPr>
      <w:r>
        <w:rPr>
          <w:color w:val="DEE2E6"/>
          <w:sz w:val="12"/>
        </w:rPr>
        <w:t>────────────────────────────────────────────────────────────────────────</w:t>
      </w:r>
    </w:p>
    <w:p>
      <w:pPr>
        <w:spacing w:after="0" w:before="0"/>
      </w:pPr>
      <w:r>
        <w:rPr>
          <w:rFonts w:ascii="Open Sans" w:hAnsi="Open Sans"/>
          <w:b w:val="0"/>
          <w:color w:val="868E96"/>
          <w:sz w:val="14"/>
        </w:rPr>
        <w:t>© 2026 National Institute for Nonprofit Digital Advancement (NINDA). All rights reserved. This document may not be reproduced or distributed without written permission.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